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EF" w:rsidRDefault="005D5CEF" w:rsidP="004E1F36">
      <w:pPr>
        <w:autoSpaceDE w:val="0"/>
        <w:autoSpaceDN w:val="0"/>
        <w:adjustRightInd w:val="0"/>
        <w:snapToGrid w:val="0"/>
        <w:spacing w:line="209" w:lineRule="auto"/>
        <w:jc w:val="center"/>
        <w:rPr>
          <w:rFonts w:ascii="メイリオ" w:eastAsia="メイリオ" w:hAnsi="メイリオ"/>
          <w:b/>
          <w:sz w:val="24"/>
        </w:rPr>
      </w:pPr>
      <w:bookmarkStart w:id="0" w:name="_GoBack"/>
      <w:bookmarkEnd w:id="0"/>
    </w:p>
    <w:p w:rsidR="00215F86" w:rsidRPr="00D64804" w:rsidRDefault="00EB72CF" w:rsidP="004E1F36">
      <w:pPr>
        <w:autoSpaceDE w:val="0"/>
        <w:autoSpaceDN w:val="0"/>
        <w:adjustRightInd w:val="0"/>
        <w:snapToGrid w:val="0"/>
        <w:spacing w:line="209" w:lineRule="auto"/>
        <w:jc w:val="center"/>
        <w:rPr>
          <w:rFonts w:ascii="メイリオ" w:eastAsia="メイリオ" w:hAnsi="メイリオ"/>
          <w:b/>
          <w:sz w:val="24"/>
        </w:rPr>
      </w:pPr>
      <w:r w:rsidRPr="00D64804">
        <w:rPr>
          <w:rFonts w:ascii="メイリオ" w:eastAsia="メイリオ" w:hAnsi="メイリオ" w:hint="eastAsia"/>
          <w:b/>
          <w:sz w:val="24"/>
        </w:rPr>
        <w:t>第5</w:t>
      </w:r>
      <w:r w:rsidR="00990473" w:rsidRPr="00D64804">
        <w:rPr>
          <w:rFonts w:ascii="メイリオ" w:eastAsia="メイリオ" w:hAnsi="メイリオ"/>
          <w:b/>
          <w:sz w:val="24"/>
        </w:rPr>
        <w:t>6</w:t>
      </w:r>
      <w:r w:rsidRPr="00D64804">
        <w:rPr>
          <w:rFonts w:ascii="メイリオ" w:eastAsia="メイリオ" w:hAnsi="メイリオ" w:hint="eastAsia"/>
          <w:b/>
          <w:sz w:val="24"/>
        </w:rPr>
        <w:t>回</w:t>
      </w:r>
      <w:r w:rsidR="002D6732">
        <w:rPr>
          <w:rFonts w:ascii="メイリオ" w:eastAsia="メイリオ" w:hAnsi="メイリオ" w:hint="eastAsia"/>
          <w:b/>
          <w:sz w:val="24"/>
        </w:rPr>
        <w:t>板橋区ユニバーサルデザイン</w:t>
      </w:r>
      <w:r w:rsidRPr="00D64804">
        <w:rPr>
          <w:rFonts w:ascii="メイリオ" w:eastAsia="メイリオ" w:hAnsi="メイリオ" w:hint="eastAsia"/>
          <w:b/>
          <w:sz w:val="24"/>
        </w:rPr>
        <w:t>推進協議会</w:t>
      </w:r>
      <w:r w:rsidR="00AD4890">
        <w:rPr>
          <w:rFonts w:ascii="メイリオ" w:eastAsia="メイリオ" w:hAnsi="メイリオ" w:hint="eastAsia"/>
          <w:b/>
          <w:sz w:val="24"/>
        </w:rPr>
        <w:t xml:space="preserve">　会議録</w:t>
      </w:r>
    </w:p>
    <w:p w:rsidR="00990473" w:rsidRDefault="00990473" w:rsidP="004E1F36">
      <w:pPr>
        <w:autoSpaceDE w:val="0"/>
        <w:autoSpaceDN w:val="0"/>
        <w:adjustRightInd w:val="0"/>
        <w:snapToGrid w:val="0"/>
        <w:spacing w:line="209" w:lineRule="auto"/>
        <w:rPr>
          <w:rFonts w:ascii="メイリオ" w:eastAsia="メイリオ" w:hAnsi="メイリオ"/>
          <w:sz w:val="24"/>
        </w:rPr>
      </w:pPr>
    </w:p>
    <w:p w:rsidR="00990473" w:rsidRPr="00D64804" w:rsidRDefault="002D6732" w:rsidP="004E1F36">
      <w:pPr>
        <w:autoSpaceDE w:val="0"/>
        <w:autoSpaceDN w:val="0"/>
        <w:adjustRightInd w:val="0"/>
        <w:snapToGrid w:val="0"/>
        <w:spacing w:line="209" w:lineRule="auto"/>
        <w:rPr>
          <w:rFonts w:ascii="メイリオ" w:eastAsia="メイリオ" w:hAnsi="メイリオ"/>
          <w:b/>
          <w:sz w:val="24"/>
        </w:rPr>
      </w:pPr>
      <w:r>
        <w:rPr>
          <w:rFonts w:ascii="メイリオ" w:eastAsia="メイリオ" w:hAnsi="メイリオ" w:hint="eastAsia"/>
          <w:b/>
          <w:sz w:val="24"/>
        </w:rPr>
        <w:t>１　開催日時</w:t>
      </w:r>
    </w:p>
    <w:p w:rsidR="00990473" w:rsidRDefault="002D6732" w:rsidP="004E1F36">
      <w:pPr>
        <w:autoSpaceDE w:val="0"/>
        <w:autoSpaceDN w:val="0"/>
        <w:adjustRightInd w:val="0"/>
        <w:snapToGrid w:val="0"/>
        <w:spacing w:line="209" w:lineRule="auto"/>
        <w:rPr>
          <w:rFonts w:ascii="メイリオ" w:eastAsia="メイリオ" w:hAnsi="メイリオ"/>
          <w:sz w:val="24"/>
        </w:rPr>
      </w:pPr>
      <w:r>
        <w:rPr>
          <w:rFonts w:ascii="メイリオ" w:eastAsia="メイリオ" w:hAnsi="メイリオ" w:hint="eastAsia"/>
          <w:sz w:val="24"/>
        </w:rPr>
        <w:t xml:space="preserve">　令和２年</w:t>
      </w:r>
      <w:r w:rsidR="00D43F2A">
        <w:rPr>
          <w:rFonts w:ascii="メイリオ" w:eastAsia="メイリオ" w:hAnsi="メイリオ" w:hint="eastAsia"/>
          <w:sz w:val="24"/>
        </w:rPr>
        <w:t>５月７日～同年５月18日</w:t>
      </w:r>
    </w:p>
    <w:p w:rsidR="00D43F2A" w:rsidRDefault="00D43F2A" w:rsidP="004E1F36">
      <w:pPr>
        <w:autoSpaceDE w:val="0"/>
        <w:autoSpaceDN w:val="0"/>
        <w:adjustRightInd w:val="0"/>
        <w:snapToGrid w:val="0"/>
        <w:spacing w:line="209" w:lineRule="auto"/>
        <w:rPr>
          <w:rFonts w:ascii="メイリオ" w:eastAsia="メイリオ" w:hAnsi="メイリオ"/>
          <w:sz w:val="24"/>
        </w:rPr>
      </w:pPr>
    </w:p>
    <w:p w:rsidR="00D43F2A" w:rsidRPr="004E1F36" w:rsidRDefault="00D43F2A" w:rsidP="004E1F36">
      <w:pPr>
        <w:autoSpaceDE w:val="0"/>
        <w:autoSpaceDN w:val="0"/>
        <w:adjustRightInd w:val="0"/>
        <w:snapToGrid w:val="0"/>
        <w:spacing w:line="209" w:lineRule="auto"/>
        <w:rPr>
          <w:rFonts w:ascii="メイリオ" w:eastAsia="メイリオ" w:hAnsi="メイリオ"/>
          <w:b/>
          <w:sz w:val="24"/>
        </w:rPr>
      </w:pPr>
      <w:r w:rsidRPr="004E1F36">
        <w:rPr>
          <w:rFonts w:ascii="メイリオ" w:eastAsia="メイリオ" w:hAnsi="メイリオ" w:hint="eastAsia"/>
          <w:b/>
          <w:sz w:val="24"/>
        </w:rPr>
        <w:t>２　開催方法</w:t>
      </w:r>
    </w:p>
    <w:p w:rsidR="00D43F2A" w:rsidRDefault="00D43F2A" w:rsidP="004E1F36">
      <w:pPr>
        <w:autoSpaceDE w:val="0"/>
        <w:autoSpaceDN w:val="0"/>
        <w:adjustRightInd w:val="0"/>
        <w:snapToGrid w:val="0"/>
        <w:spacing w:line="209" w:lineRule="auto"/>
        <w:rPr>
          <w:rFonts w:ascii="メイリオ" w:eastAsia="メイリオ" w:hAnsi="メイリオ"/>
          <w:sz w:val="24"/>
        </w:rPr>
      </w:pPr>
      <w:r>
        <w:rPr>
          <w:rFonts w:ascii="メイリオ" w:eastAsia="メイリオ" w:hAnsi="メイリオ" w:hint="eastAsia"/>
          <w:sz w:val="24"/>
        </w:rPr>
        <w:t xml:space="preserve">　書面による会議</w:t>
      </w:r>
    </w:p>
    <w:p w:rsidR="00D43F2A" w:rsidRDefault="00D43F2A" w:rsidP="004E1F36">
      <w:pPr>
        <w:autoSpaceDE w:val="0"/>
        <w:autoSpaceDN w:val="0"/>
        <w:adjustRightInd w:val="0"/>
        <w:snapToGrid w:val="0"/>
        <w:spacing w:line="209" w:lineRule="auto"/>
        <w:rPr>
          <w:rFonts w:ascii="メイリオ" w:eastAsia="メイリオ" w:hAnsi="メイリオ"/>
          <w:sz w:val="24"/>
        </w:rPr>
      </w:pPr>
    </w:p>
    <w:p w:rsidR="00D43F2A" w:rsidRPr="004E1F36" w:rsidRDefault="00D43F2A" w:rsidP="004E1F36">
      <w:pPr>
        <w:autoSpaceDE w:val="0"/>
        <w:autoSpaceDN w:val="0"/>
        <w:adjustRightInd w:val="0"/>
        <w:snapToGrid w:val="0"/>
        <w:spacing w:line="209" w:lineRule="auto"/>
        <w:rPr>
          <w:rFonts w:ascii="メイリオ" w:eastAsia="メイリオ" w:hAnsi="メイリオ"/>
          <w:b/>
          <w:sz w:val="24"/>
        </w:rPr>
      </w:pPr>
      <w:r w:rsidRPr="004E1F36">
        <w:rPr>
          <w:rFonts w:ascii="メイリオ" w:eastAsia="メイリオ" w:hAnsi="メイリオ" w:hint="eastAsia"/>
          <w:b/>
          <w:sz w:val="24"/>
        </w:rPr>
        <w:t>３　出席者</w:t>
      </w:r>
    </w:p>
    <w:p w:rsidR="00D43F2A" w:rsidRDefault="00D43F2A" w:rsidP="004E1F36">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【委員17名】（敬称略）</w:t>
      </w:r>
    </w:p>
    <w:p w:rsidR="00D43F2A" w:rsidRDefault="00D43F2A" w:rsidP="004E1F36">
      <w:pPr>
        <w:autoSpaceDE w:val="0"/>
        <w:autoSpaceDN w:val="0"/>
        <w:adjustRightInd w:val="0"/>
        <w:snapToGrid w:val="0"/>
        <w:spacing w:line="209" w:lineRule="auto"/>
        <w:ind w:leftChars="135" w:left="283"/>
        <w:rPr>
          <w:rFonts w:ascii="メイリオ" w:eastAsia="メイリオ" w:hAnsi="メイリオ"/>
          <w:sz w:val="24"/>
        </w:rPr>
      </w:pPr>
      <w:r w:rsidRPr="00D43F2A">
        <w:rPr>
          <w:rFonts w:ascii="メイリオ" w:eastAsia="メイリオ" w:hAnsi="メイリオ" w:hint="eastAsia"/>
          <w:sz w:val="24"/>
        </w:rPr>
        <w:t>八藤後</w:t>
      </w:r>
      <w:r>
        <w:rPr>
          <w:rFonts w:ascii="メイリオ" w:eastAsia="メイリオ" w:hAnsi="メイリオ" w:hint="eastAsia"/>
          <w:sz w:val="24"/>
        </w:rPr>
        <w:t>会長、水村委員、</w:t>
      </w:r>
      <w:r w:rsidR="009D5BB3" w:rsidRPr="009D5BB3">
        <w:rPr>
          <w:rFonts w:ascii="メイリオ" w:eastAsia="メイリオ" w:hAnsi="メイリオ" w:hint="eastAsia"/>
          <w:sz w:val="24"/>
        </w:rPr>
        <w:t>桑波田</w:t>
      </w:r>
      <w:r w:rsidR="009D5BB3">
        <w:rPr>
          <w:rFonts w:ascii="メイリオ" w:eastAsia="メイリオ" w:hAnsi="メイリオ" w:hint="eastAsia"/>
          <w:sz w:val="24"/>
        </w:rPr>
        <w:t>委員、</w:t>
      </w:r>
      <w:r w:rsidR="00D42C8F" w:rsidRPr="00D42C8F">
        <w:rPr>
          <w:rFonts w:ascii="メイリオ" w:eastAsia="メイリオ" w:hAnsi="メイリオ" w:hint="eastAsia"/>
          <w:sz w:val="24"/>
        </w:rPr>
        <w:t>佐々木</w:t>
      </w:r>
      <w:r w:rsidR="00D42C8F">
        <w:rPr>
          <w:rFonts w:ascii="メイリオ" w:eastAsia="メイリオ" w:hAnsi="メイリオ" w:hint="eastAsia"/>
          <w:sz w:val="24"/>
        </w:rPr>
        <w:t>委員、</w:t>
      </w:r>
      <w:r w:rsidR="00D42C8F" w:rsidRPr="00D42C8F">
        <w:rPr>
          <w:rFonts w:ascii="メイリオ" w:eastAsia="メイリオ" w:hAnsi="メイリオ" w:hint="eastAsia"/>
          <w:sz w:val="24"/>
        </w:rPr>
        <w:t>西端</w:t>
      </w:r>
      <w:r w:rsidR="00D42C8F">
        <w:rPr>
          <w:rFonts w:ascii="メイリオ" w:eastAsia="メイリオ" w:hAnsi="メイリオ" w:hint="eastAsia"/>
          <w:sz w:val="24"/>
        </w:rPr>
        <w:t>委員、</w:t>
      </w:r>
      <w:r w:rsidR="00D42C8F" w:rsidRPr="00D42C8F">
        <w:rPr>
          <w:rFonts w:ascii="メイリオ" w:eastAsia="メイリオ" w:hAnsi="メイリオ" w:hint="eastAsia"/>
          <w:sz w:val="24"/>
        </w:rPr>
        <w:t>堀井</w:t>
      </w:r>
      <w:r w:rsidR="00D42C8F">
        <w:rPr>
          <w:rFonts w:ascii="メイリオ" w:eastAsia="メイリオ" w:hAnsi="メイリオ" w:hint="eastAsia"/>
          <w:sz w:val="24"/>
        </w:rPr>
        <w:t>委員、</w:t>
      </w:r>
      <w:r w:rsidR="00D42C8F" w:rsidRPr="00D42C8F">
        <w:rPr>
          <w:rFonts w:ascii="メイリオ" w:eastAsia="メイリオ" w:hAnsi="メイリオ" w:hint="eastAsia"/>
          <w:sz w:val="24"/>
        </w:rPr>
        <w:t>アダムス</w:t>
      </w:r>
      <w:r w:rsidR="00D42C8F">
        <w:rPr>
          <w:rFonts w:ascii="メイリオ" w:eastAsia="メイリオ" w:hAnsi="メイリオ" w:hint="eastAsia"/>
          <w:sz w:val="24"/>
        </w:rPr>
        <w:t>委員、</w:t>
      </w:r>
      <w:r w:rsidR="004E1F36" w:rsidRPr="004E1F36">
        <w:rPr>
          <w:rFonts w:ascii="メイリオ" w:eastAsia="メイリオ" w:hAnsi="メイリオ" w:hint="eastAsia"/>
          <w:sz w:val="24"/>
        </w:rPr>
        <w:t>山口</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吉田</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渡辺</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木村</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横山</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竹澤</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湊</w:t>
      </w:r>
      <w:r w:rsidR="004E1F36">
        <w:rPr>
          <w:rFonts w:ascii="メイリオ" w:eastAsia="メイリオ" w:hAnsi="メイリオ" w:hint="eastAsia"/>
          <w:sz w:val="24"/>
        </w:rPr>
        <w:t>委員、上村委員、</w:t>
      </w:r>
      <w:r w:rsidR="004E1F36" w:rsidRPr="004E1F36">
        <w:rPr>
          <w:rFonts w:ascii="メイリオ" w:eastAsia="メイリオ" w:hAnsi="メイリオ" w:hint="eastAsia"/>
          <w:sz w:val="24"/>
        </w:rPr>
        <w:t>草深</w:t>
      </w:r>
      <w:r w:rsidR="004E1F36">
        <w:rPr>
          <w:rFonts w:ascii="メイリオ" w:eastAsia="メイリオ" w:hAnsi="メイリオ" w:hint="eastAsia"/>
          <w:sz w:val="24"/>
        </w:rPr>
        <w:t>委員、</w:t>
      </w:r>
      <w:r w:rsidR="004E1F36" w:rsidRPr="004E1F36">
        <w:rPr>
          <w:rFonts w:ascii="メイリオ" w:eastAsia="メイリオ" w:hAnsi="メイリオ" w:hint="eastAsia"/>
          <w:sz w:val="24"/>
        </w:rPr>
        <w:t>辻</w:t>
      </w:r>
      <w:r w:rsidR="004E1F36">
        <w:rPr>
          <w:rFonts w:ascii="メイリオ" w:eastAsia="メイリオ" w:hAnsi="メイリオ" w:hint="eastAsia"/>
          <w:sz w:val="24"/>
        </w:rPr>
        <w:t>委員（欠席１名）</w:t>
      </w:r>
    </w:p>
    <w:p w:rsidR="00990473" w:rsidRDefault="00990473" w:rsidP="004E1F36">
      <w:pPr>
        <w:autoSpaceDE w:val="0"/>
        <w:autoSpaceDN w:val="0"/>
        <w:adjustRightInd w:val="0"/>
        <w:snapToGrid w:val="0"/>
        <w:spacing w:line="209" w:lineRule="auto"/>
        <w:rPr>
          <w:rFonts w:ascii="メイリオ" w:eastAsia="メイリオ" w:hAnsi="メイリオ"/>
          <w:sz w:val="24"/>
        </w:rPr>
      </w:pPr>
    </w:p>
    <w:p w:rsidR="004E1F36" w:rsidRPr="004E1F36" w:rsidRDefault="004E1F36" w:rsidP="004E1F36">
      <w:pPr>
        <w:autoSpaceDE w:val="0"/>
        <w:autoSpaceDN w:val="0"/>
        <w:adjustRightInd w:val="0"/>
        <w:snapToGrid w:val="0"/>
        <w:spacing w:line="209" w:lineRule="auto"/>
        <w:rPr>
          <w:rFonts w:ascii="メイリオ" w:eastAsia="メイリオ" w:hAnsi="メイリオ"/>
          <w:b/>
          <w:sz w:val="24"/>
        </w:rPr>
      </w:pPr>
      <w:r w:rsidRPr="004E1F36">
        <w:rPr>
          <w:rFonts w:ascii="メイリオ" w:eastAsia="メイリオ" w:hAnsi="メイリオ" w:hint="eastAsia"/>
          <w:b/>
          <w:sz w:val="24"/>
        </w:rPr>
        <w:t>４　配布資料</w:t>
      </w:r>
    </w:p>
    <w:p w:rsidR="004E1F36" w:rsidRDefault="004E1F36" w:rsidP="004E1F36">
      <w:pPr>
        <w:topLinePunct/>
        <w:autoSpaceDE w:val="0"/>
        <w:autoSpaceDN w:val="0"/>
        <w:adjustRightInd w:val="0"/>
        <w:snapToGrid w:val="0"/>
        <w:spacing w:line="209" w:lineRule="auto"/>
        <w:ind w:leftChars="135" w:left="283"/>
        <w:rPr>
          <w:rFonts w:ascii="メイリオ" w:eastAsia="メイリオ" w:hAnsi="メイリオ"/>
          <w:sz w:val="24"/>
        </w:rPr>
      </w:pPr>
      <w:r w:rsidRPr="004E1F36">
        <w:rPr>
          <w:rFonts w:ascii="メイリオ" w:eastAsia="メイリオ" w:hAnsi="メイリオ" w:hint="eastAsia"/>
          <w:sz w:val="24"/>
        </w:rPr>
        <w:t>〔資料１〕板橋区ユニバーサルデザイン推進計画2025の改定方針(案)</w:t>
      </w:r>
    </w:p>
    <w:p w:rsidR="004E1F36" w:rsidRDefault="004E1F36" w:rsidP="004E1F36">
      <w:pPr>
        <w:topLinePunct/>
        <w:autoSpaceDE w:val="0"/>
        <w:autoSpaceDN w:val="0"/>
        <w:adjustRightInd w:val="0"/>
        <w:snapToGrid w:val="0"/>
        <w:spacing w:line="209" w:lineRule="auto"/>
        <w:ind w:leftChars="135" w:left="283"/>
        <w:rPr>
          <w:rFonts w:ascii="メイリオ" w:eastAsia="メイリオ" w:hAnsi="メイリオ"/>
          <w:sz w:val="24"/>
        </w:rPr>
      </w:pPr>
      <w:r w:rsidRPr="004E1F36">
        <w:rPr>
          <w:rFonts w:ascii="メイリオ" w:eastAsia="メイリオ" w:hAnsi="メイリオ" w:hint="eastAsia"/>
          <w:sz w:val="24"/>
        </w:rPr>
        <w:t>〔参考資料１〕ユニバーサルデザインに関する説明資料</w:t>
      </w:r>
    </w:p>
    <w:p w:rsidR="004E1F36" w:rsidRDefault="004E1F36" w:rsidP="004E1F36">
      <w:pPr>
        <w:topLinePunct/>
        <w:autoSpaceDE w:val="0"/>
        <w:autoSpaceDN w:val="0"/>
        <w:adjustRightInd w:val="0"/>
        <w:snapToGrid w:val="0"/>
        <w:spacing w:line="209" w:lineRule="auto"/>
        <w:ind w:leftChars="135" w:left="283"/>
        <w:rPr>
          <w:rFonts w:ascii="メイリオ" w:eastAsia="メイリオ" w:hAnsi="メイリオ"/>
          <w:sz w:val="24"/>
        </w:rPr>
      </w:pPr>
      <w:r w:rsidRPr="004E1F36">
        <w:rPr>
          <w:rFonts w:ascii="メイリオ" w:eastAsia="メイリオ" w:hAnsi="メイリオ" w:hint="eastAsia"/>
          <w:sz w:val="24"/>
        </w:rPr>
        <w:t>〔参考資料２〕第10期板橋区ユニバーサルデザイン推進協議会委員名簿</w:t>
      </w:r>
    </w:p>
    <w:p w:rsidR="004E1F36" w:rsidRDefault="004E1F36" w:rsidP="004E1F36">
      <w:pPr>
        <w:topLinePunct/>
        <w:autoSpaceDE w:val="0"/>
        <w:autoSpaceDN w:val="0"/>
        <w:adjustRightInd w:val="0"/>
        <w:snapToGrid w:val="0"/>
        <w:spacing w:line="209" w:lineRule="auto"/>
        <w:ind w:leftChars="135" w:left="283"/>
        <w:rPr>
          <w:rFonts w:ascii="メイリオ" w:eastAsia="メイリオ" w:hAnsi="メイリオ"/>
          <w:sz w:val="24"/>
        </w:rPr>
      </w:pPr>
      <w:r w:rsidRPr="004E1F36">
        <w:rPr>
          <w:rFonts w:ascii="メイリオ" w:eastAsia="メイリオ" w:hAnsi="メイリオ" w:hint="eastAsia"/>
          <w:sz w:val="24"/>
        </w:rPr>
        <w:t>〔参考資料３〕板橋区ユニバーサルデザイン推進協議会工程表</w:t>
      </w:r>
    </w:p>
    <w:p w:rsidR="00990473" w:rsidRDefault="00990473" w:rsidP="004E1F36">
      <w:pPr>
        <w:autoSpaceDE w:val="0"/>
        <w:autoSpaceDN w:val="0"/>
        <w:adjustRightInd w:val="0"/>
        <w:snapToGrid w:val="0"/>
        <w:spacing w:line="209" w:lineRule="auto"/>
        <w:rPr>
          <w:rFonts w:ascii="メイリオ" w:eastAsia="メイリオ" w:hAnsi="メイリオ"/>
          <w:sz w:val="24"/>
        </w:rPr>
      </w:pPr>
    </w:p>
    <w:p w:rsidR="0064405B" w:rsidRPr="00D64804" w:rsidRDefault="004E1F36" w:rsidP="004E1F36">
      <w:pPr>
        <w:autoSpaceDE w:val="0"/>
        <w:autoSpaceDN w:val="0"/>
        <w:adjustRightInd w:val="0"/>
        <w:snapToGrid w:val="0"/>
        <w:spacing w:line="209" w:lineRule="auto"/>
        <w:rPr>
          <w:rFonts w:ascii="メイリオ" w:eastAsia="メイリオ" w:hAnsi="メイリオ"/>
          <w:b/>
          <w:sz w:val="24"/>
        </w:rPr>
      </w:pPr>
      <w:r>
        <w:rPr>
          <w:rFonts w:ascii="メイリオ" w:eastAsia="メイリオ" w:hAnsi="メイリオ" w:hint="eastAsia"/>
          <w:b/>
          <w:sz w:val="24"/>
        </w:rPr>
        <w:t>５</w:t>
      </w:r>
      <w:r w:rsidR="00D64804" w:rsidRPr="00D64804">
        <w:rPr>
          <w:rFonts w:ascii="メイリオ" w:eastAsia="メイリオ" w:hAnsi="メイリオ" w:hint="eastAsia"/>
          <w:b/>
          <w:sz w:val="24"/>
        </w:rPr>
        <w:t xml:space="preserve">　</w:t>
      </w:r>
      <w:r w:rsidR="00990473" w:rsidRPr="00D64804">
        <w:rPr>
          <w:rFonts w:ascii="メイリオ" w:eastAsia="メイリオ" w:hAnsi="メイリオ" w:hint="eastAsia"/>
          <w:b/>
          <w:sz w:val="24"/>
        </w:rPr>
        <w:t>協議会委員の意見</w:t>
      </w:r>
      <w:r w:rsidR="00D37707">
        <w:rPr>
          <w:rFonts w:ascii="メイリオ" w:eastAsia="メイリオ" w:hAnsi="メイリオ" w:hint="eastAsia"/>
          <w:b/>
          <w:sz w:val="24"/>
        </w:rPr>
        <w:t>要旨等</w:t>
      </w:r>
    </w:p>
    <w:p w:rsidR="00EF79B2" w:rsidRDefault="004E1F36" w:rsidP="004E1F36">
      <w:pPr>
        <w:autoSpaceDE w:val="0"/>
        <w:autoSpaceDN w:val="0"/>
        <w:adjustRightInd w:val="0"/>
        <w:spacing w:line="300" w:lineRule="exact"/>
        <w:ind w:leftChars="135" w:left="283"/>
        <w:rPr>
          <w:rFonts w:ascii="メイリオ" w:eastAsia="メイリオ" w:hAnsi="メイリオ"/>
          <w:sz w:val="24"/>
        </w:rPr>
      </w:pPr>
      <w:r>
        <w:rPr>
          <w:rFonts w:ascii="メイリオ" w:eastAsia="メイリオ" w:hAnsi="メイリオ" w:hint="eastAsia"/>
          <w:sz w:val="24"/>
        </w:rPr>
        <w:t>※書面による会議開催に先立ち、委員から推薦があり八藤後委員が会長に選任された。</w:t>
      </w:r>
    </w:p>
    <w:p w:rsidR="004E1F36" w:rsidRPr="0064405B" w:rsidRDefault="004E1F36" w:rsidP="008965D8">
      <w:pPr>
        <w:autoSpaceDE w:val="0"/>
        <w:autoSpaceDN w:val="0"/>
        <w:adjustRightInd w:val="0"/>
        <w:spacing w:line="300" w:lineRule="exact"/>
        <w:rPr>
          <w:rFonts w:ascii="メイリオ" w:eastAsia="メイリオ" w:hAnsi="メイリオ"/>
          <w:sz w:val="24"/>
        </w:rPr>
      </w:pPr>
    </w:p>
    <w:tbl>
      <w:tblPr>
        <w:tblStyle w:val="a3"/>
        <w:tblW w:w="10201" w:type="dxa"/>
        <w:tblLook w:val="04A0" w:firstRow="1" w:lastRow="0" w:firstColumn="1" w:lastColumn="0" w:noHBand="0" w:noVBand="1"/>
      </w:tblPr>
      <w:tblGrid>
        <w:gridCol w:w="876"/>
        <w:gridCol w:w="4662"/>
        <w:gridCol w:w="4663"/>
      </w:tblGrid>
      <w:tr w:rsidR="002D6732" w:rsidRPr="00071354" w:rsidTr="005D5CEF">
        <w:trPr>
          <w:trHeight w:val="618"/>
          <w:tblHeader/>
        </w:trPr>
        <w:tc>
          <w:tcPr>
            <w:tcW w:w="876" w:type="dxa"/>
            <w:shd w:val="clear" w:color="auto" w:fill="E7E6E6" w:themeFill="background2"/>
            <w:vAlign w:val="center"/>
          </w:tcPr>
          <w:p w:rsidR="009F3E74" w:rsidRPr="00835A3F" w:rsidRDefault="009F3E74" w:rsidP="00071354">
            <w:pPr>
              <w:autoSpaceDE w:val="0"/>
              <w:autoSpaceDN w:val="0"/>
              <w:adjustRightInd w:val="0"/>
              <w:snapToGrid w:val="0"/>
              <w:spacing w:line="209" w:lineRule="auto"/>
              <w:jc w:val="center"/>
              <w:rPr>
                <w:rFonts w:ascii="メイリオ" w:eastAsia="メイリオ" w:hAnsi="メイリオ"/>
                <w:b/>
                <w:szCs w:val="24"/>
              </w:rPr>
            </w:pPr>
            <w:r w:rsidRPr="00835A3F">
              <w:rPr>
                <w:rFonts w:ascii="メイリオ" w:eastAsia="メイリオ" w:hAnsi="メイリオ" w:hint="eastAsia"/>
                <w:b/>
                <w:szCs w:val="24"/>
              </w:rPr>
              <w:t>項目</w:t>
            </w:r>
          </w:p>
          <w:p w:rsidR="00071354" w:rsidRPr="00835A3F" w:rsidRDefault="009F3E74" w:rsidP="00071354">
            <w:pPr>
              <w:autoSpaceDE w:val="0"/>
              <w:autoSpaceDN w:val="0"/>
              <w:adjustRightInd w:val="0"/>
              <w:snapToGrid w:val="0"/>
              <w:spacing w:line="209" w:lineRule="auto"/>
              <w:jc w:val="center"/>
              <w:rPr>
                <w:rFonts w:ascii="メイリオ" w:eastAsia="メイリオ" w:hAnsi="メイリオ"/>
                <w:b/>
                <w:szCs w:val="24"/>
              </w:rPr>
            </w:pPr>
            <w:r w:rsidRPr="00835A3F">
              <w:rPr>
                <w:rFonts w:ascii="メイリオ" w:eastAsia="メイリオ" w:hAnsi="メイリオ" w:hint="eastAsia"/>
                <w:b/>
                <w:szCs w:val="24"/>
              </w:rPr>
              <w:t>項番</w:t>
            </w:r>
          </w:p>
        </w:tc>
        <w:tc>
          <w:tcPr>
            <w:tcW w:w="4662" w:type="dxa"/>
            <w:shd w:val="clear" w:color="auto" w:fill="E7E6E6" w:themeFill="background2"/>
            <w:vAlign w:val="center"/>
          </w:tcPr>
          <w:p w:rsidR="009F3E74" w:rsidRPr="00835A3F" w:rsidRDefault="009F3E74" w:rsidP="00071354">
            <w:pPr>
              <w:autoSpaceDE w:val="0"/>
              <w:autoSpaceDN w:val="0"/>
              <w:adjustRightInd w:val="0"/>
              <w:snapToGrid w:val="0"/>
              <w:spacing w:line="209" w:lineRule="auto"/>
              <w:jc w:val="center"/>
              <w:rPr>
                <w:rFonts w:ascii="メイリオ" w:eastAsia="メイリオ" w:hAnsi="メイリオ"/>
                <w:b/>
                <w:szCs w:val="24"/>
              </w:rPr>
            </w:pPr>
            <w:r w:rsidRPr="00835A3F">
              <w:rPr>
                <w:rFonts w:ascii="メイリオ" w:eastAsia="メイリオ" w:hAnsi="メイリオ" w:hint="eastAsia"/>
                <w:b/>
                <w:szCs w:val="24"/>
              </w:rPr>
              <w:t>協議会委員の意見要旨</w:t>
            </w:r>
          </w:p>
        </w:tc>
        <w:tc>
          <w:tcPr>
            <w:tcW w:w="4663" w:type="dxa"/>
            <w:tcBorders>
              <w:right w:val="single" w:sz="4" w:space="0" w:color="auto"/>
            </w:tcBorders>
            <w:shd w:val="clear" w:color="auto" w:fill="E7E6E6" w:themeFill="background2"/>
            <w:vAlign w:val="center"/>
          </w:tcPr>
          <w:p w:rsidR="009F3E74" w:rsidRPr="00835A3F" w:rsidRDefault="00F159B6" w:rsidP="00071354">
            <w:pPr>
              <w:autoSpaceDE w:val="0"/>
              <w:autoSpaceDN w:val="0"/>
              <w:adjustRightInd w:val="0"/>
              <w:snapToGrid w:val="0"/>
              <w:spacing w:line="209" w:lineRule="auto"/>
              <w:jc w:val="center"/>
              <w:rPr>
                <w:rFonts w:ascii="メイリオ" w:eastAsia="メイリオ" w:hAnsi="メイリオ"/>
                <w:b/>
                <w:szCs w:val="24"/>
              </w:rPr>
            </w:pPr>
            <w:r>
              <w:rPr>
                <w:rFonts w:ascii="メイリオ" w:eastAsia="メイリオ" w:hAnsi="メイリオ" w:hint="eastAsia"/>
                <w:b/>
                <w:szCs w:val="24"/>
              </w:rPr>
              <w:t>区の</w:t>
            </w:r>
            <w:r w:rsidR="00A83D21">
              <w:rPr>
                <w:rFonts w:ascii="メイリオ" w:eastAsia="メイリオ" w:hAnsi="メイリオ" w:hint="eastAsia"/>
                <w:b/>
                <w:szCs w:val="24"/>
              </w:rPr>
              <w:t>回答</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t>全体</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推進計画の実施主体について、確認があります。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「区職員」や「区民」、あるいはその両方</w:t>
            </w:r>
            <w:r w:rsidR="004E1F36" w:rsidRPr="00071354">
              <w:rPr>
                <w:rFonts w:ascii="メイリオ" w:eastAsia="メイリオ" w:hAnsi="メイリオ" w:hint="eastAsia"/>
                <w:sz w:val="24"/>
                <w:szCs w:val="24"/>
              </w:rPr>
              <w:t>など、誰が推進するのかを明示した方がよいと感じます。</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本計画における実施者は、UD推進計画P32「７ 各主体の役割」において「区」「区民」「事業者」「地域活動団体」の役割をお示ししております。</w:t>
            </w:r>
          </w:p>
          <w:p w:rsidR="0007135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計画事業については、主体が「区」となることから、今後素案を策定していく段階において、所管課をお示します。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t>全体</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難病の方やＬＧＢＴの方などの配慮など、対象となる人が</w:t>
            </w:r>
            <w:r w:rsidR="004E1F36" w:rsidRPr="00071354">
              <w:rPr>
                <w:rFonts w:ascii="メイリオ" w:eastAsia="メイリオ" w:hAnsi="メイリオ" w:hint="eastAsia"/>
                <w:sz w:val="24"/>
                <w:szCs w:val="24"/>
              </w:rPr>
              <w:t>拡大していることについて言及した方がよいと考えます。</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当該計画においての対象は「すべての人」としております。その点、本計画では具体的な属性に関して大まかな言及にとどめており、個別の状況を各行政計画</w:t>
            </w:r>
            <w:r w:rsidRPr="00071354">
              <w:rPr>
                <w:rFonts w:ascii="メイリオ" w:eastAsia="メイリオ" w:hAnsi="メイリオ" w:hint="eastAsia"/>
                <w:sz w:val="24"/>
                <w:szCs w:val="24"/>
              </w:rPr>
              <w:lastRenderedPageBreak/>
              <w:t>に委ねることとしております。</w:t>
            </w:r>
          </w:p>
          <w:p w:rsidR="0007135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今後素案を策定していく段階において、関係部署と調整し、難病の方やLGBTなどを含めた施策・事業に反映させていきます。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lastRenderedPageBreak/>
              <w:t>３</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オリンピックの延期は、UD推進計画に少なからず影響のあったものと予想します。その点について記述がなかったので、お伺いしたいです。どのような議論がなされて、どのような対処がされているか。あるいは全く影響はないということであれば</w:t>
            </w:r>
            <w:r w:rsidR="004E1F36" w:rsidRPr="00071354">
              <w:rPr>
                <w:rFonts w:ascii="メイリオ" w:eastAsia="メイリオ" w:hAnsi="メイリオ" w:hint="eastAsia"/>
                <w:sz w:val="24"/>
                <w:szCs w:val="24"/>
              </w:rPr>
              <w:t>、その理由などを含めて教えていただけますでしょうか。</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東京2020オリンピック・パラリンピック競技大会の延期を含めた、新型コロナウイルス感染拡大防止の状況などは、計画内で位置付けていく必要があると考えております。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こちらにつきましては、区の方針や他計画の状況などを踏まえまして、表現できるよう検討します。</w:t>
            </w:r>
          </w:p>
        </w:tc>
      </w:tr>
      <w:tr w:rsidR="002D6732" w:rsidRPr="00071354" w:rsidTr="005D5CEF">
        <w:trPr>
          <w:trHeight w:val="1595"/>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t>４</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進捗状況の評価の「順調」について、もう少し詳細に進捗の度合いを表現する必要があると考えます。</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今後素案を策定していく段階において、進捗状況の「順調」が区民の方にわかりやすく伝わるよう表現します。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sz w:val="24"/>
                <w:szCs w:val="24"/>
              </w:rPr>
              <w:t>5-</w:t>
            </w:r>
            <w:r w:rsidRPr="00071354">
              <w:rPr>
                <w:rFonts w:ascii="メイリオ" w:eastAsia="メイリオ" w:hAnsi="メイリオ" w:hint="eastAsia"/>
                <w:sz w:val="24"/>
                <w:szCs w:val="24"/>
              </w:rPr>
              <w:t>(</w:t>
            </w:r>
            <w:r w:rsidRPr="00071354">
              <w:rPr>
                <w:rFonts w:ascii="メイリオ" w:eastAsia="メイリオ" w:hAnsi="メイリオ"/>
                <w:sz w:val="24"/>
                <w:szCs w:val="24"/>
              </w:rPr>
              <w:t>1</w:t>
            </w:r>
            <w:r w:rsidRPr="00071354">
              <w:rPr>
                <w:rFonts w:ascii="メイリオ" w:eastAsia="メイリオ" w:hAnsi="メイリオ" w:hint="eastAsia"/>
                <w:sz w:val="24"/>
                <w:szCs w:val="24"/>
              </w:rPr>
              <w:t>)</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区民におけるUD</w:t>
            </w:r>
            <w:r w:rsidR="009C7E80">
              <w:rPr>
                <w:rFonts w:ascii="メイリオ" w:eastAsia="メイリオ" w:hAnsi="メイリオ" w:hint="eastAsia"/>
                <w:sz w:val="24"/>
                <w:szCs w:val="24"/>
              </w:rPr>
              <w:t>の認知度３割は残念であり、私よりも小学生</w:t>
            </w:r>
            <w:r w:rsidRPr="00071354">
              <w:rPr>
                <w:rFonts w:ascii="メイリオ" w:eastAsia="メイリオ" w:hAnsi="メイリオ" w:hint="eastAsia"/>
                <w:sz w:val="24"/>
                <w:szCs w:val="24"/>
              </w:rPr>
              <w:t>の息子たちの方がよく理解しているようですので、「小学校の総合的な学習の時間～」の中に</w:t>
            </w:r>
            <w:r w:rsidR="004E1F36" w:rsidRPr="00071354">
              <w:rPr>
                <w:rFonts w:ascii="メイリオ" w:eastAsia="メイリオ" w:hAnsi="メイリオ" w:hint="eastAsia"/>
                <w:sz w:val="24"/>
                <w:szCs w:val="24"/>
              </w:rPr>
              <w:t>中学校や区内の高校・大学も含めてはいかがでしょうか。</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ご指摘のとおり、対象を限定せず、幅広く周知活動を行うことがUDの認知・実践につながると考えています。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他方、区では区民への普及啓発の取り組みとして、区立小学校を対象にUD啓発パンフレット「まちの中で気づくかな？」を配布・活用しているところです。昨年度からは、特別支援学校などへも配布し、対象範囲を拡大して取り組んでい</w:t>
            </w:r>
            <w:r w:rsidR="009C7E80">
              <w:rPr>
                <w:rFonts w:ascii="メイリオ" w:eastAsia="メイリオ" w:hAnsi="メイリオ" w:hint="eastAsia"/>
                <w:sz w:val="24"/>
                <w:szCs w:val="24"/>
              </w:rPr>
              <w:t>ま</w:t>
            </w:r>
            <w:r w:rsidRPr="00071354">
              <w:rPr>
                <w:rFonts w:ascii="メイリオ" w:eastAsia="メイリオ" w:hAnsi="メイリオ" w:hint="eastAsia"/>
                <w:sz w:val="24"/>
                <w:szCs w:val="24"/>
              </w:rPr>
              <w:t>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こちらにつきましては、今後素案を策定していく段階において、関係部署と調整のうえ施策・事業へ反映できるよう検討します。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t>5-(</w:t>
            </w:r>
            <w:r w:rsidRPr="00071354">
              <w:rPr>
                <w:rFonts w:ascii="メイリオ" w:eastAsia="メイリオ" w:hAnsi="メイリオ"/>
                <w:sz w:val="24"/>
                <w:szCs w:val="24"/>
              </w:rPr>
              <w:t>1</w:t>
            </w:r>
            <w:r w:rsidRPr="00071354">
              <w:rPr>
                <w:rFonts w:ascii="メイリオ" w:eastAsia="メイリオ" w:hAnsi="メイリオ" w:hint="eastAsia"/>
                <w:sz w:val="24"/>
                <w:szCs w:val="24"/>
              </w:rPr>
              <w:t>)</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職員の意識が変わり、具体的な取り組みが進んだ成果を積極的に区民に紹介し区</w:t>
            </w:r>
            <w:r w:rsidR="004E1F36" w:rsidRPr="00071354">
              <w:rPr>
                <w:rFonts w:ascii="メイリオ" w:eastAsia="メイリオ" w:hAnsi="メイリオ" w:hint="eastAsia"/>
                <w:sz w:val="24"/>
                <w:szCs w:val="24"/>
              </w:rPr>
              <w:t>民の意識啓発につなげていくことが必要だと思います。</w:t>
            </w:r>
          </w:p>
        </w:tc>
        <w:tc>
          <w:tcPr>
            <w:tcW w:w="4663" w:type="dxa"/>
            <w:tcBorders>
              <w:right w:val="single" w:sz="4" w:space="0" w:color="auto"/>
            </w:tcBorders>
            <w:vAlign w:val="center"/>
          </w:tcPr>
          <w:p w:rsidR="009F3E74" w:rsidRPr="00071354" w:rsidRDefault="009F3E74" w:rsidP="005D5CEF">
            <w:pPr>
              <w:autoSpaceDE w:val="0"/>
              <w:autoSpaceDN w:val="0"/>
              <w:adjustRightInd w:val="0"/>
              <w:snapToGrid w:val="0"/>
              <w:spacing w:line="209" w:lineRule="auto"/>
              <w:ind w:rightChars="-51" w:right="-107"/>
              <w:jc w:val="left"/>
              <w:rPr>
                <w:rFonts w:ascii="メイリオ" w:eastAsia="メイリオ" w:hAnsi="メイリオ"/>
                <w:sz w:val="24"/>
                <w:szCs w:val="24"/>
              </w:rPr>
            </w:pPr>
            <w:r w:rsidRPr="00071354">
              <w:rPr>
                <w:rFonts w:ascii="メイリオ" w:eastAsia="メイリオ" w:hAnsi="メイリオ" w:hint="eastAsia"/>
                <w:sz w:val="24"/>
                <w:szCs w:val="24"/>
              </w:rPr>
              <w:t>意識啓発を推進するため、まずは職員に対する意識啓発を行っているところです。</w:t>
            </w:r>
          </w:p>
          <w:p w:rsidR="008F39AB"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今後素案を策定していく段階において、</w:t>
            </w:r>
            <w:r w:rsidRPr="00071354">
              <w:rPr>
                <w:rFonts w:ascii="メイリオ" w:eastAsia="メイリオ" w:hAnsi="メイリオ" w:hint="eastAsia"/>
                <w:sz w:val="24"/>
                <w:szCs w:val="24"/>
              </w:rPr>
              <w:lastRenderedPageBreak/>
              <w:t>ご提案いただきました部分を含めまして具体的な施策・事業を検討します。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sz w:val="24"/>
                <w:szCs w:val="24"/>
              </w:rPr>
              <w:lastRenderedPageBreak/>
              <w:t>5-</w:t>
            </w:r>
            <w:r w:rsidR="00071354">
              <w:rPr>
                <w:rFonts w:ascii="メイリオ" w:eastAsia="メイリオ" w:hAnsi="メイリオ"/>
                <w:sz w:val="24"/>
                <w:szCs w:val="24"/>
              </w:rPr>
              <w:t>(</w:t>
            </w:r>
            <w:r w:rsidRPr="00071354">
              <w:rPr>
                <w:rFonts w:ascii="メイリオ" w:eastAsia="メイリオ" w:hAnsi="メイリオ"/>
                <w:sz w:val="24"/>
                <w:szCs w:val="24"/>
              </w:rPr>
              <w:t>2</w:t>
            </w:r>
            <w:r w:rsidR="00071354">
              <w:rPr>
                <w:rFonts w:ascii="メイリオ" w:eastAsia="メイリオ" w:hAnsi="メイリオ" w:hint="eastAsia"/>
                <w:sz w:val="24"/>
                <w:szCs w:val="24"/>
              </w:rPr>
              <w:t>)</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福祉避難所の整備について。新型コロナウイルス感染拡大防止の観点から、避難所ではこれまで以上に人と人との接触が制限されることが予想されます。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そうなると、人や物に触れて位置や方向を確認する視覚障がい者は避難所での生活がこれまで以上に困難になると想像しています。避難所ではUDの観点から、ベッドやトイレなど生活に不可欠な場所を結ぶ動線をロ</w:t>
            </w:r>
            <w:r w:rsidR="004E1F36" w:rsidRPr="00071354">
              <w:rPr>
                <w:rFonts w:ascii="メイリオ" w:eastAsia="メイリオ" w:hAnsi="メイリオ" w:hint="eastAsia"/>
                <w:sz w:val="24"/>
                <w:szCs w:val="24"/>
              </w:rPr>
              <w:t>ープや点字ブロックを用いて整備するように望みます。</w:t>
            </w:r>
          </w:p>
        </w:tc>
        <w:tc>
          <w:tcPr>
            <w:tcW w:w="4663" w:type="dxa"/>
            <w:tcBorders>
              <w:right w:val="single" w:sz="4" w:space="0" w:color="auto"/>
            </w:tcBorders>
            <w:vAlign w:val="center"/>
          </w:tcPr>
          <w:p w:rsidR="003838F1" w:rsidRPr="003838F1" w:rsidRDefault="003838F1" w:rsidP="003838F1">
            <w:pPr>
              <w:autoSpaceDE w:val="0"/>
              <w:autoSpaceDN w:val="0"/>
              <w:adjustRightInd w:val="0"/>
              <w:snapToGrid w:val="0"/>
              <w:spacing w:line="209" w:lineRule="auto"/>
              <w:rPr>
                <w:rFonts w:ascii="メイリオ" w:eastAsia="メイリオ" w:hAnsi="メイリオ"/>
                <w:sz w:val="24"/>
                <w:szCs w:val="24"/>
              </w:rPr>
            </w:pPr>
            <w:r w:rsidRPr="003838F1">
              <w:rPr>
                <w:rFonts w:ascii="メイリオ" w:eastAsia="メイリオ" w:hAnsi="メイリオ" w:hint="eastAsia"/>
                <w:sz w:val="24"/>
                <w:szCs w:val="24"/>
              </w:rPr>
              <w:t>区としては、新型コロナウイルス感染拡大防止のため、様々な対策を検討しております。</w:t>
            </w:r>
          </w:p>
          <w:p w:rsidR="009F3E74" w:rsidRPr="00071354" w:rsidRDefault="003838F1" w:rsidP="003838F1">
            <w:pPr>
              <w:autoSpaceDE w:val="0"/>
              <w:autoSpaceDN w:val="0"/>
              <w:adjustRightInd w:val="0"/>
              <w:snapToGrid w:val="0"/>
              <w:spacing w:line="209" w:lineRule="auto"/>
              <w:rPr>
                <w:rFonts w:ascii="メイリオ" w:eastAsia="メイリオ" w:hAnsi="メイリオ"/>
                <w:sz w:val="24"/>
                <w:szCs w:val="24"/>
              </w:rPr>
            </w:pPr>
            <w:r w:rsidRPr="003838F1">
              <w:rPr>
                <w:rFonts w:ascii="メイリオ" w:eastAsia="メイリオ" w:hAnsi="メイリオ" w:hint="eastAsia"/>
                <w:sz w:val="24"/>
                <w:szCs w:val="24"/>
              </w:rPr>
              <w:t>その中で、福祉避難所へUDの視点を含めた整備を進めることができるよう、関係部署と連携して取り組んでまいります。</w:t>
            </w:r>
          </w:p>
        </w:tc>
      </w:tr>
      <w:tr w:rsidR="002D6732" w:rsidRPr="00071354" w:rsidTr="005D5CEF">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t>5</w:t>
            </w:r>
            <w:r w:rsidRPr="00071354">
              <w:rPr>
                <w:rFonts w:ascii="メイリオ" w:eastAsia="メイリオ" w:hAnsi="メイリオ"/>
                <w:sz w:val="24"/>
                <w:szCs w:val="24"/>
              </w:rPr>
              <w:t>-(3)</w:t>
            </w:r>
          </w:p>
        </w:tc>
        <w:tc>
          <w:tcPr>
            <w:tcW w:w="4662" w:type="dxa"/>
            <w:vAlign w:val="center"/>
          </w:tcPr>
          <w:p w:rsidR="009F3E74" w:rsidRPr="00071354" w:rsidRDefault="009F3E74" w:rsidP="00071354">
            <w:pPr>
              <w:autoSpaceDE w:val="0"/>
              <w:autoSpaceDN w:val="0"/>
              <w:adjustRightInd w:val="0"/>
              <w:snapToGrid w:val="0"/>
              <w:spacing w:line="209" w:lineRule="auto"/>
              <w:rPr>
                <w:rFonts w:ascii="メイリオ" w:eastAsia="メイリオ" w:hAnsi="メイリオ"/>
                <w:sz w:val="24"/>
                <w:szCs w:val="24"/>
              </w:rPr>
            </w:pPr>
            <w:r w:rsidRPr="00071354">
              <w:rPr>
                <w:rFonts w:ascii="メイリオ" w:eastAsia="メイリオ" w:hAnsi="メイリオ" w:hint="eastAsia"/>
                <w:sz w:val="24"/>
                <w:szCs w:val="24"/>
              </w:rPr>
              <w:t>今後、区内で建物ができる時には、「男女共用トイレ」や「クールダウン室」があると嬉しいなと思っています。国立競技場にも整備されましたので、公共施設にも普及すると、成人した男性のトイレ介護をするお母さんやパニックになってし</w:t>
            </w:r>
            <w:r w:rsidR="004E1F36" w:rsidRPr="00071354">
              <w:rPr>
                <w:rFonts w:ascii="メイリオ" w:eastAsia="メイリオ" w:hAnsi="メイリオ" w:hint="eastAsia"/>
                <w:sz w:val="24"/>
                <w:szCs w:val="24"/>
              </w:rPr>
              <w:t>まった障がい者への対応がスムーズになるかと思います。</w:t>
            </w:r>
          </w:p>
        </w:tc>
        <w:tc>
          <w:tcPr>
            <w:tcW w:w="4663" w:type="dxa"/>
            <w:tcBorders>
              <w:right w:val="single" w:sz="4" w:space="0" w:color="auto"/>
            </w:tcBorders>
            <w:vAlign w:val="center"/>
          </w:tcPr>
          <w:p w:rsidR="003838F1" w:rsidRPr="003838F1" w:rsidRDefault="003838F1" w:rsidP="003838F1">
            <w:pPr>
              <w:autoSpaceDE w:val="0"/>
              <w:autoSpaceDN w:val="0"/>
              <w:adjustRightInd w:val="0"/>
              <w:snapToGrid w:val="0"/>
              <w:spacing w:line="209" w:lineRule="auto"/>
              <w:rPr>
                <w:rFonts w:ascii="メイリオ" w:eastAsia="メイリオ" w:hAnsi="メイリオ"/>
                <w:sz w:val="24"/>
                <w:szCs w:val="24"/>
              </w:rPr>
            </w:pPr>
            <w:r w:rsidRPr="003838F1">
              <w:rPr>
                <w:rFonts w:ascii="メイリオ" w:eastAsia="メイリオ" w:hAnsi="メイリオ" w:hint="eastAsia"/>
                <w:sz w:val="24"/>
                <w:szCs w:val="24"/>
              </w:rPr>
              <w:t>「男女共用トイレ」や「クールダウン室」については、</w:t>
            </w:r>
            <w:r w:rsidR="009C7E80">
              <w:rPr>
                <w:rFonts w:ascii="メイリオ" w:eastAsia="メイリオ" w:hAnsi="メイリオ" w:hint="eastAsia"/>
                <w:sz w:val="24"/>
                <w:szCs w:val="24"/>
              </w:rPr>
              <w:t>U</w:t>
            </w:r>
            <w:r w:rsidR="009C7E80">
              <w:rPr>
                <w:rFonts w:ascii="メイリオ" w:eastAsia="メイリオ" w:hAnsi="メイリオ"/>
                <w:sz w:val="24"/>
                <w:szCs w:val="24"/>
              </w:rPr>
              <w:t>D</w:t>
            </w:r>
            <w:r w:rsidRPr="003838F1">
              <w:rPr>
                <w:rFonts w:ascii="メイリオ" w:eastAsia="メイリオ" w:hAnsi="メイリオ" w:hint="eastAsia"/>
                <w:sz w:val="24"/>
                <w:szCs w:val="24"/>
              </w:rPr>
              <w:t>の観点から非常に有用な設備であると認識しております。</w:t>
            </w:r>
          </w:p>
          <w:p w:rsidR="003838F1" w:rsidRPr="003838F1" w:rsidRDefault="003838F1" w:rsidP="003838F1">
            <w:pPr>
              <w:autoSpaceDE w:val="0"/>
              <w:autoSpaceDN w:val="0"/>
              <w:adjustRightInd w:val="0"/>
              <w:snapToGrid w:val="0"/>
              <w:spacing w:line="209" w:lineRule="auto"/>
              <w:rPr>
                <w:rFonts w:ascii="メイリオ" w:eastAsia="メイリオ" w:hAnsi="メイリオ"/>
                <w:sz w:val="24"/>
                <w:szCs w:val="24"/>
              </w:rPr>
            </w:pPr>
            <w:r w:rsidRPr="003838F1">
              <w:rPr>
                <w:rFonts w:ascii="メイリオ" w:eastAsia="メイリオ" w:hAnsi="メイリオ" w:hint="eastAsia"/>
                <w:sz w:val="24"/>
                <w:szCs w:val="24"/>
              </w:rPr>
              <w:t>区の公共施設の改修時などに実施している</w:t>
            </w:r>
            <w:r w:rsidR="009C7E80">
              <w:rPr>
                <w:rFonts w:ascii="メイリオ" w:eastAsia="メイリオ" w:hAnsi="メイリオ" w:hint="eastAsia"/>
                <w:sz w:val="24"/>
                <w:szCs w:val="24"/>
              </w:rPr>
              <w:t>UD</w:t>
            </w:r>
            <w:r w:rsidRPr="003838F1">
              <w:rPr>
                <w:rFonts w:ascii="メイリオ" w:eastAsia="メイリオ" w:hAnsi="メイリオ" w:hint="eastAsia"/>
                <w:sz w:val="24"/>
                <w:szCs w:val="24"/>
              </w:rPr>
              <w:t>事業において、施設整備の方向性などを踏まえて、当該設備の設置や代替スペースの確保などについて検討しております。</w:t>
            </w:r>
          </w:p>
          <w:p w:rsidR="009F3E74" w:rsidRPr="00071354" w:rsidRDefault="003838F1" w:rsidP="009C7E80">
            <w:pPr>
              <w:autoSpaceDE w:val="0"/>
              <w:autoSpaceDN w:val="0"/>
              <w:adjustRightInd w:val="0"/>
              <w:snapToGrid w:val="0"/>
              <w:spacing w:line="209" w:lineRule="auto"/>
              <w:rPr>
                <w:rFonts w:ascii="メイリオ" w:eastAsia="メイリオ" w:hAnsi="メイリオ"/>
                <w:sz w:val="24"/>
                <w:szCs w:val="24"/>
              </w:rPr>
            </w:pPr>
            <w:r w:rsidRPr="003838F1">
              <w:rPr>
                <w:rFonts w:ascii="メイリオ" w:eastAsia="メイリオ" w:hAnsi="メイリオ" w:hint="eastAsia"/>
                <w:sz w:val="24"/>
                <w:szCs w:val="24"/>
              </w:rPr>
              <w:t>今後も</w:t>
            </w:r>
            <w:r w:rsidR="009C7E80">
              <w:rPr>
                <w:rFonts w:ascii="メイリオ" w:eastAsia="メイリオ" w:hAnsi="メイリオ" w:hint="eastAsia"/>
                <w:sz w:val="24"/>
                <w:szCs w:val="24"/>
              </w:rPr>
              <w:t>UD</w:t>
            </w:r>
            <w:r w:rsidRPr="003838F1">
              <w:rPr>
                <w:rFonts w:ascii="メイリオ" w:eastAsia="メイリオ" w:hAnsi="メイリオ" w:hint="eastAsia"/>
                <w:sz w:val="24"/>
                <w:szCs w:val="24"/>
              </w:rPr>
              <w:t>に配慮した施設整備の推進に取り組んでまいります。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hint="eastAsia"/>
                <w:sz w:val="24"/>
                <w:szCs w:val="24"/>
              </w:rPr>
              <w:t>5-</w:t>
            </w:r>
            <w:r w:rsidRPr="00071354">
              <w:rPr>
                <w:rFonts w:ascii="メイリオ" w:eastAsia="メイリオ" w:hAnsi="メイリオ"/>
                <w:sz w:val="24"/>
                <w:szCs w:val="24"/>
              </w:rPr>
              <w:t>(5)</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全体として高い見識を盛り込まれていて、先端的かつ合理的な考え方が反映され、近代的な取り組みになっている印象を持ちます。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ただしポスト近代の今では、もう一つ大きな要素が求められています。それは、すべての人が検討や決定のプロセスに参加できる仕組みです。専門家が考えたどんなスキームであっても、個々人がもつあらゆる特有条件までは検討が付きえません。</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したがって、事前・途中・事後でも、「すべての人」が発言できる仕組み、さらにはそれを常時から積極的に吸い上げる仕組みが求められます。小生の立場からいえば、特に参政権のない外国籍には何らかの参加</w:t>
            </w:r>
            <w:r w:rsidR="004E1F36" w:rsidRPr="00071354">
              <w:rPr>
                <w:rFonts w:ascii="メイリオ" w:eastAsia="メイリオ" w:hAnsi="メイリオ" w:hint="eastAsia"/>
                <w:sz w:val="24"/>
                <w:szCs w:val="24"/>
              </w:rPr>
              <w:t>・発言できる仕組みがぜひあるべきだと考えます。</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rPr>
                <w:rFonts w:ascii="メイリオ" w:eastAsia="メイリオ" w:hAnsi="メイリオ"/>
                <w:sz w:val="24"/>
                <w:szCs w:val="24"/>
              </w:rPr>
            </w:pPr>
            <w:r w:rsidRPr="00071354">
              <w:rPr>
                <w:rFonts w:ascii="メイリオ" w:eastAsia="メイリオ" w:hAnsi="メイリオ" w:hint="eastAsia"/>
                <w:sz w:val="24"/>
                <w:szCs w:val="24"/>
              </w:rPr>
              <w:t>「推進体制に関する現状と課題」で記載したとおり、まちづくり当事者同士が連携して、様々な取り組みに参加することができる仕組みづくりが求められていると考えております。</w:t>
            </w:r>
          </w:p>
          <w:p w:rsidR="009F3E74" w:rsidRPr="00071354" w:rsidRDefault="009F3E74" w:rsidP="00071354">
            <w:pPr>
              <w:autoSpaceDE w:val="0"/>
              <w:autoSpaceDN w:val="0"/>
              <w:adjustRightInd w:val="0"/>
              <w:snapToGrid w:val="0"/>
              <w:spacing w:line="209" w:lineRule="auto"/>
              <w:rPr>
                <w:rFonts w:ascii="メイリオ" w:eastAsia="メイリオ" w:hAnsi="メイリオ"/>
                <w:sz w:val="24"/>
                <w:szCs w:val="24"/>
              </w:rPr>
            </w:pPr>
            <w:r w:rsidRPr="00071354">
              <w:rPr>
                <w:rFonts w:ascii="メイリオ" w:eastAsia="メイリオ" w:hAnsi="メイリオ" w:hint="eastAsia"/>
                <w:sz w:val="24"/>
                <w:szCs w:val="24"/>
              </w:rPr>
              <w:t>ご指摘いただきました取り組みに関しましては、今後素案を策定していく段階において、関係部署と調整のうえ施策・事業へ反映できるよう検討します。</w:t>
            </w:r>
          </w:p>
        </w:tc>
      </w:tr>
      <w:tr w:rsidR="002D6732" w:rsidRPr="00071354" w:rsidTr="005D5CEF">
        <w:trPr>
          <w:trHeight w:val="510"/>
        </w:trPr>
        <w:tc>
          <w:tcPr>
            <w:tcW w:w="876" w:type="dxa"/>
            <w:vAlign w:val="center"/>
          </w:tcPr>
          <w:p w:rsidR="009F3E74" w:rsidRPr="00071354" w:rsidRDefault="009F3E74" w:rsidP="00071354">
            <w:pPr>
              <w:autoSpaceDE w:val="0"/>
              <w:autoSpaceDN w:val="0"/>
              <w:adjustRightInd w:val="0"/>
              <w:snapToGrid w:val="0"/>
              <w:spacing w:line="209" w:lineRule="auto"/>
              <w:jc w:val="center"/>
              <w:rPr>
                <w:rFonts w:ascii="メイリオ" w:eastAsia="メイリオ" w:hAnsi="メイリオ"/>
                <w:sz w:val="24"/>
                <w:szCs w:val="24"/>
              </w:rPr>
            </w:pPr>
            <w:r w:rsidRPr="00071354">
              <w:rPr>
                <w:rFonts w:ascii="メイリオ" w:eastAsia="メイリオ" w:hAnsi="メイリオ"/>
                <w:sz w:val="24"/>
                <w:szCs w:val="24"/>
              </w:rPr>
              <w:t>5-(5)</w:t>
            </w:r>
          </w:p>
        </w:tc>
        <w:tc>
          <w:tcPr>
            <w:tcW w:w="4662" w:type="dxa"/>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災害の備えと同様に、新型コロナウイルスなどの感染症からすべての区民、とりわけ配慮が必要な方の健康や生活を守るための備え（庁内連</w:t>
            </w:r>
            <w:r w:rsidR="004E1F36" w:rsidRPr="00071354">
              <w:rPr>
                <w:rFonts w:ascii="メイリオ" w:eastAsia="メイリオ" w:hAnsi="メイリオ" w:hint="eastAsia"/>
                <w:sz w:val="24"/>
                <w:szCs w:val="24"/>
              </w:rPr>
              <w:t>携や区民連携、支援体制）の整備が必要だと思います。</w:t>
            </w:r>
          </w:p>
        </w:tc>
        <w:tc>
          <w:tcPr>
            <w:tcW w:w="4663" w:type="dxa"/>
            <w:tcBorders>
              <w:right w:val="single" w:sz="4" w:space="0" w:color="auto"/>
            </w:tcBorders>
            <w:vAlign w:val="center"/>
          </w:tcPr>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新型コロナウイルス感染拡大防止のため、庁内連携はもとより、区民同士が連携した体制づくりが求められると考えております。</w:t>
            </w:r>
          </w:p>
          <w:p w:rsidR="009F3E74" w:rsidRPr="00071354" w:rsidRDefault="009F3E74" w:rsidP="00071354">
            <w:pPr>
              <w:autoSpaceDE w:val="0"/>
              <w:autoSpaceDN w:val="0"/>
              <w:adjustRightInd w:val="0"/>
              <w:snapToGrid w:val="0"/>
              <w:spacing w:line="209" w:lineRule="auto"/>
              <w:jc w:val="left"/>
              <w:rPr>
                <w:rFonts w:ascii="メイリオ" w:eastAsia="メイリオ" w:hAnsi="メイリオ"/>
                <w:sz w:val="24"/>
                <w:szCs w:val="24"/>
              </w:rPr>
            </w:pPr>
            <w:r w:rsidRPr="00071354">
              <w:rPr>
                <w:rFonts w:ascii="メイリオ" w:eastAsia="メイリオ" w:hAnsi="メイリオ" w:hint="eastAsia"/>
                <w:sz w:val="24"/>
                <w:szCs w:val="24"/>
              </w:rPr>
              <w:t>今後素案を策定していく段階において、所管部署にお伝えするとともに、施策・事業へ反映できるものがないか検討します。</w:t>
            </w:r>
          </w:p>
        </w:tc>
      </w:tr>
    </w:tbl>
    <w:p w:rsidR="009C7E80" w:rsidRDefault="009C7E80" w:rsidP="000A50FF">
      <w:pPr>
        <w:autoSpaceDE w:val="0"/>
        <w:autoSpaceDN w:val="0"/>
        <w:adjustRightInd w:val="0"/>
        <w:spacing w:line="400" w:lineRule="exact"/>
        <w:rPr>
          <w:rFonts w:ascii="メイリオ" w:eastAsia="メイリオ" w:hAnsi="メイリオ"/>
          <w:sz w:val="24"/>
        </w:rPr>
      </w:pPr>
      <w:r>
        <w:rPr>
          <w:rFonts w:ascii="メイリオ" w:eastAsia="メイリオ" w:hAnsi="メイリオ" w:hint="eastAsia"/>
          <w:sz w:val="24"/>
        </w:rPr>
        <w:t>※表中の「ユニバーサルデザイン」は「UD」で統一している。</w:t>
      </w:r>
    </w:p>
    <w:p w:rsidR="009C7E80" w:rsidRDefault="009C7E80" w:rsidP="000A50FF">
      <w:pPr>
        <w:autoSpaceDE w:val="0"/>
        <w:autoSpaceDN w:val="0"/>
        <w:adjustRightInd w:val="0"/>
        <w:spacing w:line="400" w:lineRule="exact"/>
        <w:rPr>
          <w:rFonts w:ascii="メイリオ" w:eastAsia="メイリオ" w:hAnsi="メイリオ"/>
          <w:sz w:val="24"/>
        </w:rPr>
      </w:pPr>
    </w:p>
    <w:p w:rsidR="00835A3F" w:rsidRPr="00835A3F" w:rsidRDefault="00835A3F" w:rsidP="000A50FF">
      <w:pPr>
        <w:autoSpaceDE w:val="0"/>
        <w:autoSpaceDN w:val="0"/>
        <w:adjustRightInd w:val="0"/>
        <w:spacing w:line="400" w:lineRule="exact"/>
        <w:rPr>
          <w:rFonts w:ascii="メイリオ" w:eastAsia="メイリオ" w:hAnsi="メイリオ"/>
          <w:b/>
          <w:sz w:val="24"/>
        </w:rPr>
      </w:pPr>
      <w:r w:rsidRPr="00835A3F">
        <w:rPr>
          <w:rFonts w:ascii="メイリオ" w:eastAsia="メイリオ" w:hAnsi="メイリオ" w:hint="eastAsia"/>
          <w:b/>
          <w:sz w:val="24"/>
        </w:rPr>
        <w:t>６　所管課</w:t>
      </w:r>
    </w:p>
    <w:p w:rsidR="00835A3F" w:rsidRPr="00835A3F" w:rsidRDefault="00835A3F" w:rsidP="00835A3F">
      <w:pPr>
        <w:autoSpaceDE w:val="0"/>
        <w:autoSpaceDN w:val="0"/>
        <w:adjustRightInd w:val="0"/>
        <w:spacing w:line="400" w:lineRule="exact"/>
        <w:ind w:leftChars="135" w:left="283"/>
        <w:rPr>
          <w:rFonts w:ascii="メイリオ" w:eastAsia="メイリオ" w:hAnsi="メイリオ"/>
          <w:sz w:val="24"/>
        </w:rPr>
      </w:pPr>
      <w:r>
        <w:rPr>
          <w:rFonts w:ascii="メイリオ" w:eastAsia="メイリオ" w:hAnsi="メイリオ" w:hint="eastAsia"/>
          <w:sz w:val="24"/>
        </w:rPr>
        <w:t>福祉部障がい政策課ユニバーサルデザイン推進係：03-3579-2252</w:t>
      </w:r>
    </w:p>
    <w:sectPr w:rsidR="00835A3F" w:rsidRPr="00835A3F" w:rsidSect="005D5CE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FA" w:rsidRDefault="003137FA" w:rsidP="00FA26B3">
      <w:r>
        <w:separator/>
      </w:r>
    </w:p>
  </w:endnote>
  <w:endnote w:type="continuationSeparator" w:id="0">
    <w:p w:rsidR="003137FA" w:rsidRDefault="003137FA" w:rsidP="00F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2A" w:rsidRDefault="00B0332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980586"/>
      <w:docPartObj>
        <w:docPartGallery w:val="Page Numbers (Bottom of Page)"/>
        <w:docPartUnique/>
      </w:docPartObj>
    </w:sdtPr>
    <w:sdtEndPr/>
    <w:sdtContent>
      <w:p w:rsidR="005D5CEF" w:rsidRDefault="005D5CEF">
        <w:pPr>
          <w:pStyle w:val="a6"/>
          <w:jc w:val="center"/>
        </w:pPr>
        <w:r>
          <w:fldChar w:fldCharType="begin"/>
        </w:r>
        <w:r>
          <w:instrText>PAGE   \* MERGEFORMAT</w:instrText>
        </w:r>
        <w:r>
          <w:fldChar w:fldCharType="separate"/>
        </w:r>
        <w:r w:rsidR="0057439B" w:rsidRPr="0057439B">
          <w:rPr>
            <w:noProof/>
            <w:lang w:val="ja-JP"/>
          </w:rPr>
          <w:t>2</w:t>
        </w:r>
        <w:r>
          <w:fldChar w:fldCharType="end"/>
        </w:r>
      </w:p>
    </w:sdtContent>
  </w:sdt>
  <w:p w:rsidR="005D5CEF" w:rsidRDefault="005D5CE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2A" w:rsidRDefault="00B033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FA" w:rsidRDefault="003137FA" w:rsidP="00FA26B3">
      <w:r>
        <w:separator/>
      </w:r>
    </w:p>
  </w:footnote>
  <w:footnote w:type="continuationSeparator" w:id="0">
    <w:p w:rsidR="003137FA" w:rsidRDefault="003137FA" w:rsidP="00F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2A" w:rsidRDefault="00B0332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2A" w:rsidRDefault="00B0332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2A" w:rsidRDefault="00B033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17C76"/>
    <w:multiLevelType w:val="hybridMultilevel"/>
    <w:tmpl w:val="B41C0910"/>
    <w:lvl w:ilvl="0" w:tplc="2FFC2FA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86"/>
    <w:rsid w:val="00001B4B"/>
    <w:rsid w:val="00002990"/>
    <w:rsid w:val="00026AC6"/>
    <w:rsid w:val="00055237"/>
    <w:rsid w:val="00067B23"/>
    <w:rsid w:val="00071354"/>
    <w:rsid w:val="000A0B37"/>
    <w:rsid w:val="000A1589"/>
    <w:rsid w:val="000A50FF"/>
    <w:rsid w:val="000A604C"/>
    <w:rsid w:val="000A784C"/>
    <w:rsid w:val="000F39C6"/>
    <w:rsid w:val="001376BE"/>
    <w:rsid w:val="00180DCA"/>
    <w:rsid w:val="00211C17"/>
    <w:rsid w:val="00215F86"/>
    <w:rsid w:val="002341CD"/>
    <w:rsid w:val="00237B5E"/>
    <w:rsid w:val="002477F1"/>
    <w:rsid w:val="0025175F"/>
    <w:rsid w:val="002567C3"/>
    <w:rsid w:val="00263E74"/>
    <w:rsid w:val="002A168F"/>
    <w:rsid w:val="002B0883"/>
    <w:rsid w:val="002D55BA"/>
    <w:rsid w:val="002D6732"/>
    <w:rsid w:val="002F348D"/>
    <w:rsid w:val="00312E7F"/>
    <w:rsid w:val="003137FA"/>
    <w:rsid w:val="003201A2"/>
    <w:rsid w:val="003344FE"/>
    <w:rsid w:val="00341B66"/>
    <w:rsid w:val="0035738D"/>
    <w:rsid w:val="003633C4"/>
    <w:rsid w:val="00376928"/>
    <w:rsid w:val="003838F1"/>
    <w:rsid w:val="00396800"/>
    <w:rsid w:val="003A47E6"/>
    <w:rsid w:val="003A6FD3"/>
    <w:rsid w:val="003B7F2E"/>
    <w:rsid w:val="003C3777"/>
    <w:rsid w:val="003C7253"/>
    <w:rsid w:val="003F55CB"/>
    <w:rsid w:val="003F77ED"/>
    <w:rsid w:val="0040457F"/>
    <w:rsid w:val="00431DD7"/>
    <w:rsid w:val="00456FEB"/>
    <w:rsid w:val="00477C54"/>
    <w:rsid w:val="00493C99"/>
    <w:rsid w:val="00495D80"/>
    <w:rsid w:val="004B66B8"/>
    <w:rsid w:val="004C0FE8"/>
    <w:rsid w:val="004E1F36"/>
    <w:rsid w:val="00527B73"/>
    <w:rsid w:val="00566C85"/>
    <w:rsid w:val="0057439B"/>
    <w:rsid w:val="005A0D9C"/>
    <w:rsid w:val="005A407A"/>
    <w:rsid w:val="005C5B1F"/>
    <w:rsid w:val="005C69E1"/>
    <w:rsid w:val="005D5CEF"/>
    <w:rsid w:val="005E22AB"/>
    <w:rsid w:val="005F389E"/>
    <w:rsid w:val="0064405B"/>
    <w:rsid w:val="00650E73"/>
    <w:rsid w:val="00663521"/>
    <w:rsid w:val="00673533"/>
    <w:rsid w:val="00680732"/>
    <w:rsid w:val="006D1059"/>
    <w:rsid w:val="006E6293"/>
    <w:rsid w:val="006E6EDB"/>
    <w:rsid w:val="00714EF3"/>
    <w:rsid w:val="00760F37"/>
    <w:rsid w:val="007C3706"/>
    <w:rsid w:val="007E0D62"/>
    <w:rsid w:val="008221D7"/>
    <w:rsid w:val="008275D3"/>
    <w:rsid w:val="0083177A"/>
    <w:rsid w:val="00835A3F"/>
    <w:rsid w:val="00840702"/>
    <w:rsid w:val="00854379"/>
    <w:rsid w:val="008748A5"/>
    <w:rsid w:val="00894136"/>
    <w:rsid w:val="008965D8"/>
    <w:rsid w:val="008A0692"/>
    <w:rsid w:val="008B51EC"/>
    <w:rsid w:val="008D7D4D"/>
    <w:rsid w:val="008F02B6"/>
    <w:rsid w:val="008F39AB"/>
    <w:rsid w:val="00900ED3"/>
    <w:rsid w:val="00944B1B"/>
    <w:rsid w:val="00990473"/>
    <w:rsid w:val="009913D1"/>
    <w:rsid w:val="009C7E80"/>
    <w:rsid w:val="009D5BB3"/>
    <w:rsid w:val="009E7130"/>
    <w:rsid w:val="009F0027"/>
    <w:rsid w:val="009F00A5"/>
    <w:rsid w:val="009F128A"/>
    <w:rsid w:val="009F3E74"/>
    <w:rsid w:val="00A21D05"/>
    <w:rsid w:val="00A21F31"/>
    <w:rsid w:val="00A3135A"/>
    <w:rsid w:val="00A43B01"/>
    <w:rsid w:val="00A452C3"/>
    <w:rsid w:val="00A83D21"/>
    <w:rsid w:val="00A93AC7"/>
    <w:rsid w:val="00AC4A68"/>
    <w:rsid w:val="00AD4890"/>
    <w:rsid w:val="00AF18A8"/>
    <w:rsid w:val="00B0332A"/>
    <w:rsid w:val="00B10886"/>
    <w:rsid w:val="00B303DF"/>
    <w:rsid w:val="00B34275"/>
    <w:rsid w:val="00B42EB2"/>
    <w:rsid w:val="00B56F37"/>
    <w:rsid w:val="00B670D2"/>
    <w:rsid w:val="00B80DFE"/>
    <w:rsid w:val="00B83369"/>
    <w:rsid w:val="00B942F6"/>
    <w:rsid w:val="00BB14C6"/>
    <w:rsid w:val="00BD14B6"/>
    <w:rsid w:val="00BD44ED"/>
    <w:rsid w:val="00C15462"/>
    <w:rsid w:val="00C235FD"/>
    <w:rsid w:val="00C375C9"/>
    <w:rsid w:val="00C461CA"/>
    <w:rsid w:val="00C93C66"/>
    <w:rsid w:val="00CD15E5"/>
    <w:rsid w:val="00D13EB7"/>
    <w:rsid w:val="00D37707"/>
    <w:rsid w:val="00D42C8F"/>
    <w:rsid w:val="00D43F2A"/>
    <w:rsid w:val="00D46985"/>
    <w:rsid w:val="00D614F6"/>
    <w:rsid w:val="00D64804"/>
    <w:rsid w:val="00D73DD7"/>
    <w:rsid w:val="00DA0D3D"/>
    <w:rsid w:val="00DB3201"/>
    <w:rsid w:val="00DB70C4"/>
    <w:rsid w:val="00DD2EDE"/>
    <w:rsid w:val="00DD7406"/>
    <w:rsid w:val="00DF024D"/>
    <w:rsid w:val="00E04F72"/>
    <w:rsid w:val="00E0609F"/>
    <w:rsid w:val="00E15BED"/>
    <w:rsid w:val="00E41612"/>
    <w:rsid w:val="00E43B9C"/>
    <w:rsid w:val="00E925E1"/>
    <w:rsid w:val="00E97E22"/>
    <w:rsid w:val="00EA7170"/>
    <w:rsid w:val="00EB72CF"/>
    <w:rsid w:val="00EF6CF8"/>
    <w:rsid w:val="00EF79B2"/>
    <w:rsid w:val="00F1478D"/>
    <w:rsid w:val="00F159B6"/>
    <w:rsid w:val="00F2609A"/>
    <w:rsid w:val="00F2671F"/>
    <w:rsid w:val="00FA26B3"/>
    <w:rsid w:val="00FD6C9F"/>
    <w:rsid w:val="00FE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6B3"/>
    <w:pPr>
      <w:tabs>
        <w:tab w:val="center" w:pos="4252"/>
        <w:tab w:val="right" w:pos="8504"/>
      </w:tabs>
      <w:snapToGrid w:val="0"/>
    </w:pPr>
  </w:style>
  <w:style w:type="character" w:customStyle="1" w:styleId="a5">
    <w:name w:val="ヘッダー (文字)"/>
    <w:basedOn w:val="a0"/>
    <w:link w:val="a4"/>
    <w:uiPriority w:val="99"/>
    <w:rsid w:val="00FA26B3"/>
  </w:style>
  <w:style w:type="paragraph" w:styleId="a6">
    <w:name w:val="footer"/>
    <w:basedOn w:val="a"/>
    <w:link w:val="a7"/>
    <w:uiPriority w:val="99"/>
    <w:unhideWhenUsed/>
    <w:rsid w:val="00FA26B3"/>
    <w:pPr>
      <w:tabs>
        <w:tab w:val="center" w:pos="4252"/>
        <w:tab w:val="right" w:pos="8504"/>
      </w:tabs>
      <w:snapToGrid w:val="0"/>
    </w:pPr>
  </w:style>
  <w:style w:type="character" w:customStyle="1" w:styleId="a7">
    <w:name w:val="フッター (文字)"/>
    <w:basedOn w:val="a0"/>
    <w:link w:val="a6"/>
    <w:uiPriority w:val="99"/>
    <w:rsid w:val="00FA26B3"/>
  </w:style>
  <w:style w:type="paragraph" w:styleId="a8">
    <w:name w:val="Balloon Text"/>
    <w:basedOn w:val="a"/>
    <w:link w:val="a9"/>
    <w:uiPriority w:val="99"/>
    <w:semiHidden/>
    <w:unhideWhenUsed/>
    <w:rsid w:val="002477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7F1"/>
    <w:rPr>
      <w:rFonts w:asciiTheme="majorHAnsi" w:eastAsiaTheme="majorEastAsia" w:hAnsiTheme="majorHAnsi" w:cstheme="majorBidi"/>
      <w:sz w:val="18"/>
      <w:szCs w:val="18"/>
    </w:rPr>
  </w:style>
  <w:style w:type="paragraph" w:styleId="aa">
    <w:name w:val="List Paragraph"/>
    <w:basedOn w:val="a"/>
    <w:uiPriority w:val="34"/>
    <w:qFormat/>
    <w:rsid w:val="008F02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D906-73B5-4C55-A96D-50C1915D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2020-06-18T23:56:00Z</dcterms:created>
  <dcterms:modified xsi:type="dcterms:W3CDTF">2020-06-18T23:57:00Z</dcterms:modified>
</cp:coreProperties>
</file>